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kern w:val="2"/>
          <w:sz w:val="24"/>
          <w:szCs w:val="21"/>
          <w:lang w:val="en-US" w:eastAsia="zh-CN" w:bidi="ar-SA"/>
        </w:rPr>
      </w:pPr>
      <w:bookmarkStart w:id="0" w:name="_Toc18413600"/>
      <w:bookmarkStart w:id="1" w:name="_Toc18403966"/>
      <w:bookmarkStart w:id="2" w:name="_Toc18404533"/>
      <w:r>
        <w:rPr>
          <w:rFonts w:ascii="Times New Roman" w:hAnsi="Times New Roman"/>
          <w:b/>
          <w:sz w:val="24"/>
        </w:rPr>
        <w:t>3GPP TSG-RAN WG2 Meeting #</w:t>
      </w:r>
      <w:r>
        <w:rPr>
          <w:rFonts w:ascii="Times New Roman" w:hAnsi="Times New Roman"/>
          <w:b/>
          <w:sz w:val="24"/>
          <w:lang w:eastAsia="zh-CN"/>
        </w:rPr>
        <w:t>1</w:t>
      </w:r>
      <w:r>
        <w:rPr>
          <w:rFonts w:hint="eastAsia" w:ascii="Times New Roman" w:hAnsi="Times New Roman"/>
          <w:b/>
          <w:sz w:val="24"/>
          <w:lang w:val="en-US" w:eastAsia="zh-CN"/>
        </w:rPr>
        <w:t>12-e</w:t>
      </w:r>
      <w:r>
        <w:rPr>
          <w:rFonts w:ascii="Times New Roman" w:hAnsi="Times New Roman"/>
          <w:b/>
          <w:i/>
          <w:sz w:val="24"/>
        </w:rPr>
        <w:t xml:space="preserve"> </w:t>
      </w:r>
      <w:r>
        <w:rPr>
          <w:rFonts w:ascii="Times New Roman" w:hAnsi="Times New Roman"/>
          <w:b/>
          <w:i/>
          <w:sz w:val="24"/>
          <w:lang w:val="en-US" w:eastAsia="zh-CN"/>
        </w:rPr>
        <w:t xml:space="preserve">                      </w:t>
      </w:r>
      <w:r>
        <w:rPr>
          <w:rFonts w:hint="eastAsia" w:ascii="Arial" w:hAnsi="Arial" w:eastAsia="宋体" w:cs="Times New Roman"/>
          <w:b/>
          <w:kern w:val="2"/>
          <w:sz w:val="24"/>
          <w:szCs w:val="21"/>
          <w:lang w:val="en-US" w:eastAsia="zh-CN" w:bidi="ar-SA"/>
        </w:rPr>
        <w:t xml:space="preserve">  </w:t>
      </w:r>
      <w:r>
        <w:rPr>
          <w:rFonts w:hint="eastAsia" w:ascii="Arial" w:hAnsi="Arial" w:eastAsia="宋体" w:cs="Times New Roman"/>
          <w:b/>
          <w:kern w:val="2"/>
          <w:sz w:val="24"/>
          <w:szCs w:val="21"/>
          <w:lang w:val="zh-CN" w:eastAsia="zh-CN" w:bidi="ar-SA"/>
        </w:rPr>
        <w:t>R2-</w:t>
      </w:r>
      <w:r>
        <w:rPr>
          <w:rFonts w:hint="eastAsia" w:ascii="Arial" w:hAnsi="Arial" w:eastAsia="宋体" w:cs="Times New Roman"/>
          <w:b/>
          <w:kern w:val="2"/>
          <w:sz w:val="24"/>
          <w:szCs w:val="21"/>
          <w:lang w:val="en-US" w:eastAsia="zh-CN" w:bidi="ar-SA"/>
        </w:rPr>
        <w:t>2010475</w:t>
      </w:r>
    </w:p>
    <w:p>
      <w:pPr>
        <w:pStyle w:val="286"/>
        <w:rPr>
          <w:rFonts w:cs="Arial"/>
          <w:bCs/>
          <w:kern w:val="0"/>
          <w:sz w:val="28"/>
          <w:szCs w:val="28"/>
        </w:rPr>
      </w:pPr>
      <w:r>
        <w:t xml:space="preserve">Electronic meeting, </w:t>
      </w:r>
      <w:r>
        <w:rPr>
          <w:rFonts w:hint="eastAsia"/>
          <w:lang w:val="en-US" w:eastAsia="zh-CN"/>
        </w:rPr>
        <w:t>2</w:t>
      </w:r>
      <w:r>
        <w:t xml:space="preserve"> </w:t>
      </w:r>
      <w:r>
        <w:rPr>
          <w:rFonts w:hint="eastAsia" w:eastAsia="宋体"/>
          <w:lang w:val="en-US" w:eastAsia="zh-CN"/>
        </w:rPr>
        <w:t>November</w:t>
      </w:r>
      <w:r>
        <w:t xml:space="preserve"> – </w:t>
      </w:r>
      <w:r>
        <w:rPr>
          <w:rFonts w:hint="eastAsia" w:eastAsia="宋体"/>
          <w:lang w:val="en-US" w:eastAsia="zh-CN"/>
        </w:rPr>
        <w:t>13</w:t>
      </w:r>
      <w:r>
        <w:t xml:space="preserve"> </w:t>
      </w:r>
      <w:r>
        <w:rPr>
          <w:rFonts w:hint="eastAsia" w:eastAsia="宋体"/>
          <w:lang w:val="en-US" w:eastAsia="zh-CN"/>
        </w:rPr>
        <w:t>November</w:t>
      </w:r>
      <w:r>
        <w:t xml:space="preserve"> 2020</w:t>
      </w:r>
      <w:r>
        <w:rPr>
          <w:rFonts w:cs="Arial"/>
          <w:bCs/>
          <w:kern w:val="0"/>
          <w:sz w:val="28"/>
          <w:szCs w:val="28"/>
        </w:rPr>
        <w:tab/>
      </w:r>
      <w:r>
        <w:rPr>
          <w:rFonts w:cs="Arial"/>
          <w:bCs/>
          <w:kern w:val="0"/>
          <w:sz w:val="28"/>
          <w:szCs w:val="28"/>
        </w:rPr>
        <w:t xml:space="preserve">      </w:t>
      </w:r>
      <w:r>
        <w:rPr>
          <w:rFonts w:cs="Arial"/>
          <w:bCs/>
          <w:color w:val="D9D9D9" w:themeColor="background1" w:themeShade="D9"/>
          <w:kern w:val="0"/>
          <w:sz w:val="20"/>
          <w:szCs w:val="28"/>
        </w:rPr>
        <w:t xml:space="preserve">   </w:t>
      </w:r>
    </w:p>
    <w:p>
      <w:pPr>
        <w:overflowPunct w:val="0"/>
        <w:autoSpaceDE w:val="0"/>
        <w:autoSpaceDN w:val="0"/>
        <w:adjustRightInd w:val="0"/>
        <w:snapToGrid w:val="0"/>
        <w:spacing w:before="240"/>
        <w:jc w:val="left"/>
        <w:textAlignment w:val="baseline"/>
        <w:rPr>
          <w:b/>
          <w:sz w:val="24"/>
        </w:rPr>
      </w:pPr>
      <w:r>
        <w:rPr>
          <w:b/>
          <w:sz w:val="24"/>
        </w:rPr>
        <w:t xml:space="preserve">Source: </w:t>
      </w:r>
      <w:r>
        <w:rPr>
          <w:b/>
          <w:sz w:val="24"/>
        </w:rPr>
        <w:tab/>
      </w:r>
      <w:r>
        <w:rPr>
          <w:b/>
          <w:sz w:val="24"/>
        </w:rPr>
        <w:tab/>
      </w:r>
      <w:r>
        <w:rPr>
          <w:b/>
          <w:sz w:val="24"/>
        </w:rPr>
        <w:tab/>
      </w:r>
      <w:bookmarkStart w:id="3" w:name="OLE_LINK6"/>
      <w:r>
        <w:rPr>
          <w:b/>
          <w:sz w:val="24"/>
        </w:rPr>
        <w:t>ZTE Corporation, Sanechips</w:t>
      </w:r>
      <w:bookmarkEnd w:id="3"/>
      <w:bookmarkStart w:id="11" w:name="_GoBack"/>
      <w:bookmarkEnd w:id="11"/>
    </w:p>
    <w:p>
      <w:pPr>
        <w:overflowPunct w:val="0"/>
        <w:autoSpaceDE w:val="0"/>
        <w:autoSpaceDN w:val="0"/>
        <w:adjustRightInd w:val="0"/>
        <w:snapToGrid w:val="0"/>
        <w:ind w:left="2100" w:hanging="2100"/>
        <w:jc w:val="left"/>
        <w:textAlignment w:val="baseline"/>
        <w:rPr>
          <w:rFonts w:hint="default"/>
          <w:b/>
          <w:sz w:val="24"/>
          <w:lang w:val="en-US"/>
        </w:rPr>
      </w:pPr>
      <w:r>
        <w:rPr>
          <w:b/>
          <w:sz w:val="24"/>
        </w:rPr>
        <w:t xml:space="preserve">Title: </w:t>
      </w:r>
      <w:r>
        <w:rPr>
          <w:b/>
          <w:sz w:val="24"/>
        </w:rPr>
        <w:tab/>
      </w:r>
      <w:bookmarkStart w:id="4" w:name="OLE_LINK5"/>
      <w:r>
        <w:rPr>
          <w:rFonts w:hint="eastAsia"/>
          <w:b/>
          <w:sz w:val="24"/>
          <w:lang w:val="en-US" w:eastAsia="zh-CN"/>
        </w:rPr>
        <w:t xml:space="preserve">Discussion on </w:t>
      </w:r>
      <w:bookmarkEnd w:id="4"/>
      <w:r>
        <w:rPr>
          <w:rFonts w:hint="eastAsia"/>
          <w:b/>
          <w:sz w:val="24"/>
          <w:lang w:val="en-US" w:eastAsia="zh-CN"/>
        </w:rPr>
        <w:t>use case integrity and error source factor transmission</w:t>
      </w:r>
    </w:p>
    <w:p>
      <w:pPr>
        <w:overflowPunct w:val="0"/>
        <w:autoSpaceDE w:val="0"/>
        <w:autoSpaceDN w:val="0"/>
        <w:adjustRightInd w:val="0"/>
        <w:snapToGrid w:val="0"/>
        <w:jc w:val="left"/>
        <w:textAlignment w:val="baseline"/>
        <w:rPr>
          <w:b/>
          <w:sz w:val="24"/>
          <w:lang w:val="en-US" w:eastAsia="zh-CN"/>
        </w:rPr>
      </w:pPr>
      <w:r>
        <w:rPr>
          <w:b/>
          <w:sz w:val="24"/>
        </w:rPr>
        <w:t>Agenda item:</w:t>
      </w:r>
      <w:r>
        <w:rPr>
          <w:b/>
          <w:sz w:val="24"/>
        </w:rPr>
        <w:tab/>
      </w:r>
      <w:bookmarkStart w:id="5" w:name="Source"/>
      <w:bookmarkEnd w:id="5"/>
      <w:r>
        <w:rPr>
          <w:rFonts w:hint="eastAsia"/>
          <w:b/>
          <w:sz w:val="24"/>
          <w:lang w:val="en-US" w:eastAsia="zh-CN"/>
        </w:rPr>
        <w:tab/>
      </w:r>
      <w:r>
        <w:rPr>
          <w:rFonts w:hint="eastAsia"/>
          <w:b/>
          <w:sz w:val="24"/>
          <w:lang w:val="en-US" w:eastAsia="zh-CN"/>
        </w:rPr>
        <w:t>8.11.3</w:t>
      </w:r>
    </w:p>
    <w:p>
      <w:pPr>
        <w:overflowPunct w:val="0"/>
        <w:autoSpaceDE w:val="0"/>
        <w:autoSpaceDN w:val="0"/>
        <w:adjustRightInd w:val="0"/>
        <w:snapToGrid w:val="0"/>
        <w:jc w:val="left"/>
        <w:textAlignment w:val="baseline"/>
        <w:rPr>
          <w:b/>
          <w:sz w:val="24"/>
        </w:rPr>
      </w:pPr>
      <w:r>
        <w:rPr>
          <w:b/>
          <w:sz w:val="24"/>
        </w:rPr>
        <w:t>Document for:</w:t>
      </w:r>
      <w:bookmarkStart w:id="6" w:name="DocumentFor"/>
      <w:bookmarkEnd w:id="6"/>
      <w:r>
        <w:rPr>
          <w:rFonts w:hint="eastAsia"/>
          <w:b/>
          <w:sz w:val="24"/>
        </w:rPr>
        <w:t xml:space="preserve"> </w:t>
      </w:r>
      <w:r>
        <w:rPr>
          <w:b/>
          <w:sz w:val="24"/>
        </w:rPr>
        <w:tab/>
      </w:r>
      <w:r>
        <w:rPr>
          <w:b/>
          <w:sz w:val="24"/>
        </w:rPr>
        <w:t>Discussion</w:t>
      </w:r>
      <w:r>
        <w:rPr>
          <w:rFonts w:hint="eastAsia"/>
          <w:b/>
          <w:sz w:val="24"/>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pStyle w:val="53"/>
        <w:spacing w:before="75" w:beforeAutospacing="0" w:after="75" w:afterAutospacing="0" w:line="315" w:lineRule="atLeast"/>
        <w:rPr>
          <w:rFonts w:eastAsia="宋体" w:cs="Arial"/>
          <w:color w:val="000000"/>
          <w:sz w:val="21"/>
          <w:lang w:val="en-US" w:eastAsia="zh-CN"/>
        </w:rPr>
      </w:pPr>
      <w:r>
        <w:rPr>
          <w:rFonts w:hint="eastAsia" w:eastAsia="宋体" w:cs="Arial"/>
          <w:color w:val="000000"/>
          <w:sz w:val="21"/>
          <w:lang w:val="en-US" w:eastAsia="zh-CN"/>
        </w:rPr>
        <w:t>In RAN2#111e, companies have agreed to use TIR, AL and TTA as integrity KPIs. RAN2 also confirmed 4 kinds of error sources in the RAT-independent positioning in 3GPP system. Based on the agreements, the intention of this contribution is to share some views on how to implement the integrity KPI and error source parameters in the use cases.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Integrity KPIs</w:t>
      </w:r>
    </w:p>
    <w:p>
      <w:pPr>
        <w:rPr>
          <w:rFonts w:eastAsia="宋体" w:cs="Arial"/>
          <w:color w:val="000000"/>
          <w:kern w:val="0"/>
          <w:lang w:val="en-US" w:eastAsia="zh-CN"/>
        </w:rPr>
      </w:pPr>
      <w:r>
        <w:rPr>
          <w:rFonts w:hint="eastAsia" w:eastAsia="宋体" w:cs="Arial"/>
          <w:color w:val="000000"/>
          <w:kern w:val="0"/>
          <w:lang w:val="en-US" w:eastAsia="zh-CN"/>
        </w:rPr>
        <w:t>RAN2 have already made a consensus about the integrity KPIs and will implement them in the GNSS NR positioning. But how to implement these integrity KPIs in use cases has not been discussed yet. From our point of view, there are two alternatives in this issue.</w:t>
      </w:r>
    </w:p>
    <w:p>
      <w:pPr>
        <w:rPr>
          <w:rFonts w:eastAsia="宋体" w:cs="Arial"/>
          <w:color w:val="000000"/>
          <w:kern w:val="0"/>
          <w:u w:val="single"/>
          <w:lang w:val="en-US" w:eastAsia="zh-CN"/>
        </w:rPr>
      </w:pPr>
      <w:r>
        <w:rPr>
          <w:rFonts w:hint="eastAsia" w:eastAsia="宋体" w:cs="Arial"/>
          <w:color w:val="000000"/>
          <w:kern w:val="0"/>
          <w:u w:val="single"/>
          <w:lang w:val="en-US" w:eastAsia="zh-CN"/>
        </w:rPr>
        <w:t xml:space="preserve">The integrity KPIs should be configured as the service requirement in the use cases. </w:t>
      </w:r>
    </w:p>
    <w:p>
      <w:pPr>
        <w:rPr>
          <w:rFonts w:eastAsia="宋体" w:cs="Arial"/>
          <w:color w:val="000000"/>
          <w:kern w:val="0"/>
          <w:lang w:val="en-US" w:eastAsia="zh-CN"/>
        </w:rPr>
      </w:pPr>
      <w:r>
        <w:rPr>
          <w:rFonts w:hint="eastAsia" w:eastAsia="宋体" w:cs="Arial"/>
          <w:color w:val="000000"/>
          <w:kern w:val="0"/>
          <w:lang w:val="en-US" w:eastAsia="zh-CN"/>
        </w:rPr>
        <w:t>Before the 3GPP system decides which GNSS methods should be used for the positioning services, the integrity KPI should be treated as a kind of service requirements. If one GNSS method can not fulfill the required KPIs, this method should not be selected as an alternative positioning method.</w:t>
      </w:r>
    </w:p>
    <w:p>
      <w:pPr>
        <w:rPr>
          <w:rFonts w:eastAsia="宋体" w:cs="Arial"/>
          <w:color w:val="000000"/>
          <w:kern w:val="0"/>
          <w:lang w:val="en-US" w:eastAsia="zh-CN"/>
        </w:rPr>
      </w:pPr>
      <w:r>
        <w:rPr>
          <w:rFonts w:hint="eastAsia" w:eastAsia="宋体" w:cs="Arial"/>
          <w:color w:val="000000"/>
          <w:kern w:val="0"/>
          <w:lang w:val="en-US" w:eastAsia="zh-CN"/>
        </w:rPr>
        <w:t>Similar logic is used when GNSS positioning service is performing. If an integrity KPI of current used GNSS method is changed due to some reasons(e.g. change of error sources) and the KPI does not fulfill the service requirement, this GNSS method may not be used until its integrity KPIs fulfill the service requirement again.</w:t>
      </w:r>
    </w:p>
    <w:p>
      <w:pPr>
        <w:rPr>
          <w:rFonts w:eastAsia="宋体"/>
          <w:u w:val="single"/>
          <w:lang w:val="en-US" w:eastAsia="zh-CN"/>
        </w:rPr>
      </w:pPr>
      <w:r>
        <w:rPr>
          <w:rFonts w:eastAsia="宋体"/>
          <w:u w:val="single"/>
          <w:lang w:val="en-US" w:eastAsia="zh-CN"/>
        </w:rPr>
        <w:t>Integrity KPIs(TIR, AL and TTA) may be treated as a kind of assistance data.</w:t>
      </w:r>
    </w:p>
    <w:p>
      <w:pPr>
        <w:rPr>
          <w:rFonts w:hint="eastAsia" w:eastAsia="宋体" w:cs="Arial"/>
          <w:color w:val="000000"/>
          <w:kern w:val="0"/>
          <w:lang w:val="en-US" w:eastAsia="zh-CN"/>
        </w:rPr>
      </w:pPr>
      <w:r>
        <w:rPr>
          <w:rFonts w:hint="eastAsia" w:eastAsia="宋体" w:cs="Arial"/>
          <w:color w:val="000000"/>
          <w:kern w:val="0"/>
          <w:lang w:val="en-US" w:eastAsia="zh-CN"/>
        </w:rPr>
        <w:t>Beside the above alternative, the integrity KPIs can also be treated as a kind of positioning assistance data. Whether network need to transmit the integrity KPIs to UE depends on the  requirement. When UE is performing GNSS positioning method, UE can require the integrity KPI assistance data in different use cases. How to use the integrity KPI may be case by case and also based on UE</w:t>
      </w:r>
      <w:r>
        <w:rPr>
          <w:rFonts w:eastAsia="宋体" w:cs="Arial"/>
          <w:color w:val="000000"/>
          <w:kern w:val="0"/>
          <w:lang w:val="en-US" w:eastAsia="zh-CN"/>
        </w:rPr>
        <w:t>’</w:t>
      </w:r>
      <w:r>
        <w:rPr>
          <w:rFonts w:hint="eastAsia" w:eastAsia="宋体" w:cs="Arial"/>
          <w:color w:val="000000"/>
          <w:kern w:val="0"/>
          <w:lang w:val="en-US" w:eastAsia="zh-CN"/>
        </w:rPr>
        <w:t>s implementation.</w:t>
      </w:r>
    </w:p>
    <w:p>
      <w:pPr>
        <w:rPr>
          <w:rFonts w:hint="eastAsia" w:eastAsia="宋体" w:cs="Arial"/>
          <w:b/>
          <w:bCs/>
          <w:color w:val="000000"/>
          <w:kern w:val="0"/>
          <w:lang w:val="en-US" w:eastAsia="zh-CN"/>
        </w:rPr>
      </w:pPr>
      <w:r>
        <w:rPr>
          <w:rFonts w:hint="eastAsia" w:eastAsia="宋体" w:cs="Arial"/>
          <w:b/>
          <w:bCs/>
          <w:color w:val="000000"/>
          <w:kern w:val="0"/>
          <w:lang w:val="en-US" w:eastAsia="zh-CN"/>
        </w:rPr>
        <w:t>Proposal 1: The following two usages of integrity KPI shall be considered:</w:t>
      </w:r>
    </w:p>
    <w:p>
      <w:pPr>
        <w:numPr>
          <w:ilvl w:val="0"/>
          <w:numId w:val="6"/>
        </w:numPr>
        <w:ind w:left="420" w:leftChars="0" w:hanging="420" w:firstLineChars="0"/>
        <w:rPr>
          <w:rFonts w:hint="eastAsia" w:eastAsia="宋体" w:cs="Arial"/>
          <w:b/>
          <w:bCs/>
          <w:color w:val="000000"/>
          <w:kern w:val="0"/>
          <w:lang w:val="en-US" w:eastAsia="zh-CN"/>
        </w:rPr>
      </w:pPr>
      <w:r>
        <w:rPr>
          <w:rFonts w:hint="eastAsia" w:eastAsia="宋体" w:cs="Arial"/>
          <w:b/>
          <w:bCs/>
          <w:color w:val="000000"/>
          <w:kern w:val="0"/>
          <w:lang w:val="en-US" w:eastAsia="zh-CN"/>
        </w:rPr>
        <w:t>Alt 1: Integrity KPIs(TIR, AL, and TTA) is configured as the service requirement, with which the NW can determine the location method accordingly.</w:t>
      </w:r>
    </w:p>
    <w:p>
      <w:pPr>
        <w:numPr>
          <w:ilvl w:val="0"/>
          <w:numId w:val="6"/>
        </w:numPr>
        <w:ind w:left="420" w:leftChars="0" w:hanging="420" w:firstLineChars="0"/>
        <w:rPr>
          <w:rFonts w:hint="eastAsia" w:eastAsia="宋体" w:cs="Arial"/>
          <w:b/>
          <w:bCs/>
          <w:color w:val="000000"/>
          <w:kern w:val="0"/>
          <w:lang w:val="en-US" w:eastAsia="zh-CN"/>
        </w:rPr>
      </w:pPr>
      <w:r>
        <w:rPr>
          <w:rFonts w:hint="eastAsia" w:eastAsia="宋体" w:cs="Arial"/>
          <w:b/>
          <w:bCs/>
          <w:color w:val="000000"/>
          <w:kern w:val="0"/>
          <w:lang w:val="en-US" w:eastAsia="zh-CN"/>
        </w:rPr>
        <w:t>Alt 2: Integrity KPIs(TIR, AL, and TTA) is provided as assistance data, with which the UE can determine whether the assistant data is available or not and derive the integrity KPI for the location calculated.</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Transportation of error source factors</w:t>
      </w:r>
    </w:p>
    <w:p>
      <w:pPr>
        <w:rPr>
          <w:rFonts w:hint="eastAsia"/>
          <w:lang w:val="en-US" w:eastAsia="zh-CN"/>
        </w:rPr>
      </w:pPr>
      <w:r>
        <w:rPr>
          <w:rFonts w:hint="eastAsia"/>
          <w:lang w:val="en-US" w:eastAsia="zh-CN"/>
        </w:rPr>
        <w:t>The error source factors about ionospheric, clock correction, signal phase bias, etc in the GNSS field can be transmitted separately via either LPP message or pos-SIB in R-16. Considering the legacy mechanism works well, we should re-use the current mechanism to transport the error source factors for potential new added ones in R-17. In other words, all possible factors of each error source can be transported to UE via either LPP or pos-SIB. These factors may be used for more accuracy location result calculation.</w:t>
      </w:r>
    </w:p>
    <w:p>
      <w:pPr>
        <w:rPr>
          <w:rFonts w:hint="eastAsia"/>
          <w:b/>
          <w:bCs/>
          <w:lang w:val="en-US" w:eastAsia="zh-CN"/>
        </w:rPr>
      </w:pPr>
      <w:r>
        <w:rPr>
          <w:rFonts w:hint="eastAsia"/>
          <w:b/>
          <w:bCs/>
          <w:lang w:val="en-US" w:eastAsia="zh-CN"/>
        </w:rPr>
        <w:t>Proposal 2: The error source factor can be configured to UE by both LPP message and broadcast(pos-SIB). No new mechanism is needed.</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rFonts w:hint="eastAsia" w:eastAsia="宋体"/>
          <w:b/>
          <w:bCs/>
          <w:kern w:val="2"/>
          <w:sz w:val="21"/>
          <w:lang w:val="en-US" w:eastAsia="zh-CN"/>
        </w:rPr>
      </w:pPr>
      <w:r>
        <w:rPr>
          <w:rFonts w:hint="eastAsia" w:eastAsia="宋体"/>
          <w:b/>
          <w:bCs/>
          <w:kern w:val="2"/>
          <w:sz w:val="21"/>
          <w:lang w:val="en-US" w:eastAsia="zh-CN"/>
        </w:rPr>
        <w:t>Proposal 1: The following two usages of integrity KPI shall be considered:</w:t>
      </w:r>
    </w:p>
    <w:p>
      <w:pPr>
        <w:numPr>
          <w:ilvl w:val="0"/>
          <w:numId w:val="7"/>
        </w:numPr>
        <w:ind w:left="420" w:leftChars="0" w:hanging="420" w:firstLineChars="0"/>
        <w:rPr>
          <w:rFonts w:hint="eastAsia" w:eastAsia="宋体"/>
          <w:b/>
          <w:bCs/>
          <w:kern w:val="2"/>
          <w:sz w:val="21"/>
          <w:lang w:val="en-US" w:eastAsia="zh-CN"/>
        </w:rPr>
      </w:pPr>
      <w:r>
        <w:rPr>
          <w:rFonts w:hint="eastAsia" w:eastAsia="宋体"/>
          <w:b/>
          <w:bCs/>
          <w:kern w:val="2"/>
          <w:sz w:val="21"/>
          <w:lang w:val="en-US" w:eastAsia="zh-CN"/>
        </w:rPr>
        <w:t>Alt 1: Integrity KPIs(TIR, AL, and TTA) is configured as the service requirement, with which the NW can determine the location method accordingly.</w:t>
      </w:r>
    </w:p>
    <w:p>
      <w:pPr>
        <w:numPr>
          <w:ilvl w:val="0"/>
          <w:numId w:val="7"/>
        </w:numPr>
        <w:ind w:left="420" w:leftChars="0" w:hanging="420" w:firstLineChars="0"/>
        <w:rPr>
          <w:rFonts w:hint="eastAsia" w:eastAsia="宋体"/>
          <w:b/>
          <w:bCs/>
          <w:kern w:val="2"/>
          <w:sz w:val="21"/>
          <w:lang w:val="en-US" w:eastAsia="zh-CN"/>
        </w:rPr>
      </w:pPr>
      <w:r>
        <w:rPr>
          <w:rFonts w:hint="eastAsia" w:eastAsia="宋体"/>
          <w:b/>
          <w:bCs/>
          <w:kern w:val="2"/>
          <w:sz w:val="21"/>
          <w:lang w:val="en-US" w:eastAsia="zh-CN"/>
        </w:rPr>
        <w:t>Alt 2: Integrity KPIs(TIR, AL, and TTA) is provided as assistance data, with which the UE can determine whether the assistant data is available or not and derive the integrity KPI for the location calculated.</w:t>
      </w:r>
    </w:p>
    <w:p>
      <w:pPr>
        <w:rPr>
          <w:rFonts w:hint="eastAsia" w:eastAsia="宋体"/>
          <w:b/>
          <w:bCs/>
          <w:kern w:val="2"/>
          <w:sz w:val="21"/>
          <w:lang w:val="en-US" w:eastAsia="zh-CN"/>
        </w:rPr>
      </w:pPr>
      <w:r>
        <w:rPr>
          <w:rFonts w:hint="eastAsia" w:eastAsia="宋体"/>
          <w:b/>
          <w:bCs/>
          <w:kern w:val="2"/>
          <w:sz w:val="21"/>
          <w:lang w:val="en-US" w:eastAsia="zh-CN"/>
        </w:rPr>
        <w:t>Proposal 2: The error source factor can be configured to UE by both LPP message and broadcast(pos-SIB). No new mechanism is needed.</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7" w:name="_Toc18413612"/>
      <w:bookmarkStart w:id="8" w:name="_Toc18404543"/>
      <w:bookmarkStart w:id="9" w:name="_Toc18403976"/>
      <w:r>
        <w:rPr>
          <w:rFonts w:cs="Arial"/>
          <w:b w:val="0"/>
          <w:bCs w:val="0"/>
          <w:kern w:val="0"/>
          <w:sz w:val="32"/>
          <w:szCs w:val="36"/>
        </w:rPr>
        <w:t>References</w:t>
      </w:r>
      <w:bookmarkEnd w:id="7"/>
      <w:bookmarkEnd w:id="8"/>
      <w:bookmarkEnd w:id="9"/>
    </w:p>
    <w:p>
      <w:pPr>
        <w:pStyle w:val="53"/>
        <w:numPr>
          <w:ilvl w:val="0"/>
          <w:numId w:val="8"/>
        </w:numPr>
        <w:spacing w:before="75" w:beforeAutospacing="0" w:after="75" w:afterAutospacing="0" w:line="240" w:lineRule="auto"/>
        <w:rPr>
          <w:rFonts w:eastAsia="宋体" w:cs="Arial"/>
          <w:color w:val="000000"/>
          <w:sz w:val="21"/>
          <w:lang w:val="en-US" w:eastAsia="zh-CN"/>
        </w:rPr>
      </w:pPr>
      <w:bookmarkStart w:id="10" w:name="OLE_LINK1"/>
      <w:r>
        <w:rPr>
          <w:rFonts w:hint="eastAsia" w:eastAsia="宋体" w:cs="Arial"/>
          <w:color w:val="000000"/>
          <w:sz w:val="21"/>
          <w:lang w:val="en-US" w:eastAsia="zh-CN"/>
        </w:rPr>
        <w:t xml:space="preserve">3GPP TS 37.355, </w:t>
      </w:r>
      <w:r>
        <w:rPr>
          <w:rFonts w:eastAsia="宋体" w:cs="Arial"/>
          <w:color w:val="000000"/>
          <w:sz w:val="21"/>
          <w:lang w:val="en-US" w:eastAsia="zh-CN"/>
        </w:rPr>
        <w:t>“</w:t>
      </w:r>
      <w:r>
        <w:rPr>
          <w:rFonts w:hint="eastAsia" w:eastAsia="宋体" w:cs="Arial"/>
          <w:color w:val="000000"/>
          <w:sz w:val="21"/>
          <w:lang w:val="en-US" w:eastAsia="zh-CN"/>
        </w:rPr>
        <w:t>LTE Positioning Protocol (LPP)</w:t>
      </w:r>
      <w:r>
        <w:rPr>
          <w:rFonts w:eastAsia="宋体" w:cs="Arial"/>
          <w:color w:val="000000"/>
          <w:sz w:val="21"/>
          <w:lang w:val="en-US" w:eastAsia="zh-CN"/>
        </w:rPr>
        <w:t>”</w:t>
      </w:r>
      <w:r>
        <w:rPr>
          <w:rFonts w:hint="eastAsia" w:eastAsia="宋体" w:cs="Arial"/>
          <w:color w:val="000000"/>
          <w:sz w:val="21"/>
          <w:lang w:val="en-US" w:eastAsia="zh-CN"/>
        </w:rPr>
        <w:t>, Release 16,v16.2.0, Oct, 2, 2020.</w:t>
      </w:r>
    </w:p>
    <w:p>
      <w:pPr>
        <w:numPr>
          <w:ilvl w:val="0"/>
          <w:numId w:val="8"/>
        </w:numPr>
        <w:spacing w:line="240" w:lineRule="auto"/>
        <w:rPr>
          <w:rFonts w:eastAsia="宋体" w:cs="Arial"/>
          <w:lang w:val="en-US" w:eastAsia="zh-CN"/>
        </w:rPr>
      </w:pPr>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202094,</w:t>
      </w:r>
      <w:r>
        <w:rPr>
          <w:rFonts w:eastAsia="宋体" w:cs="Arial"/>
          <w:lang w:val="en-US" w:eastAsia="zh-CN"/>
        </w:rPr>
        <w:t>“Work Item Description: Study on NR Positioning Enhancements”, RAN</w:t>
      </w:r>
      <w:r>
        <w:rPr>
          <w:rFonts w:hint="eastAsia" w:eastAsia="宋体" w:cs="Arial"/>
          <w:lang w:val="en-US" w:eastAsia="zh-CN"/>
        </w:rPr>
        <w:t>,Sep,18, 2020.</w:t>
      </w:r>
    </w:p>
    <w:p>
      <w:pPr>
        <w:numPr>
          <w:ilvl w:val="0"/>
          <w:numId w:val="8"/>
        </w:numPr>
        <w:spacing w:line="240" w:lineRule="auto"/>
        <w:rPr>
          <w:rFonts w:cs="Arial"/>
          <w:color w:val="000000"/>
        </w:rPr>
      </w:pPr>
      <w:r>
        <w:rPr>
          <w:rFonts w:hint="eastAsia" w:eastAsia="宋体" w:cs="Arial"/>
          <w:color w:val="000000"/>
          <w:lang w:val="en-US" w:eastAsia="zh-CN"/>
        </w:rPr>
        <w:t>3GPP Chairman notes in RAN2#111e, Aug,28, 2020.</w:t>
      </w:r>
    </w:p>
    <w:bookmarkEnd w:id="10"/>
    <w:p>
      <w:pPr>
        <w:rPr>
          <w:rFonts w:cs="Arial"/>
          <w:color w:val="000000"/>
        </w:rPr>
      </w:pPr>
      <w:r>
        <w:rPr>
          <w:rFonts w:cs="Arial"/>
          <w:color w:val="000000"/>
        </w:rPr>
        <w:br w:type="page"/>
      </w:r>
    </w:p>
    <w:p>
      <w:pPr>
        <w:spacing w:line="240" w:lineRule="auto"/>
        <w:rPr>
          <w:rFonts w:cs="Arial"/>
          <w:color w:val="000000"/>
        </w:rPr>
      </w:pP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Annex</w:t>
      </w:r>
    </w:p>
    <w:p>
      <w:pPr>
        <w:pStyle w:val="53"/>
        <w:spacing w:before="75" w:beforeAutospacing="0" w:after="75" w:afterAutospacing="0" w:line="315" w:lineRule="atLeast"/>
        <w:rPr>
          <w:rFonts w:eastAsia="宋体" w:cs="Arial"/>
          <w:color w:val="000000"/>
          <w:sz w:val="21"/>
          <w:lang w:val="en-US" w:eastAsia="zh-CN"/>
        </w:rPr>
      </w:pPr>
      <w:r>
        <w:rPr>
          <w:rFonts w:hint="eastAsia" w:eastAsia="宋体" w:cs="Arial"/>
          <w:color w:val="000000"/>
          <w:sz w:val="21"/>
          <w:lang w:val="en-US" w:eastAsia="zh-CN"/>
        </w:rPr>
        <w:t xml:space="preserve">Agreements in RAN2#111e NR positioning enhancements </w:t>
      </w:r>
    </w:p>
    <w:p>
      <w:pPr>
        <w:pStyle w:val="82"/>
        <w:pBdr>
          <w:top w:val="single" w:color="auto" w:sz="4" w:space="1"/>
          <w:left w:val="single" w:color="auto" w:sz="4" w:space="4"/>
          <w:bottom w:val="single" w:color="auto" w:sz="4" w:space="1"/>
          <w:right w:val="single" w:color="auto" w:sz="4" w:space="4"/>
        </w:pBdr>
        <w:spacing w:line="240" w:lineRule="auto"/>
      </w:pPr>
      <w:r>
        <w:t>Agreements:</w:t>
      </w:r>
    </w:p>
    <w:p>
      <w:pPr>
        <w:pStyle w:val="82"/>
        <w:pBdr>
          <w:top w:val="single" w:color="auto" w:sz="4" w:space="1"/>
          <w:left w:val="single" w:color="auto" w:sz="4" w:space="4"/>
          <w:bottom w:val="single" w:color="auto" w:sz="4" w:space="1"/>
          <w:right w:val="single" w:color="auto" w:sz="4" w:space="4"/>
        </w:pBdr>
        <w:spacing w:line="240" w:lineRule="auto"/>
      </w:pPr>
      <w:r>
        <w:t>1.</w:t>
      </w:r>
      <w:r>
        <w:tab/>
      </w:r>
      <w:r>
        <w:t>Agree to adopt the Target Integrity Risk (TIR), Alert Limit (AL) and Time-to-Alert TTA) as the Integrity KPIs.</w:t>
      </w:r>
    </w:p>
    <w:p>
      <w:pPr>
        <w:pStyle w:val="82"/>
        <w:pBdr>
          <w:top w:val="single" w:color="auto" w:sz="4" w:space="1"/>
          <w:left w:val="single" w:color="auto" w:sz="4" w:space="4"/>
          <w:bottom w:val="single" w:color="auto" w:sz="4" w:space="1"/>
          <w:right w:val="single" w:color="auto" w:sz="4" w:space="4"/>
        </w:pBdr>
        <w:spacing w:line="240" w:lineRule="auto"/>
      </w:pPr>
      <w:r>
        <w:t>2.</w:t>
      </w:r>
      <w:r>
        <w:tab/>
      </w:r>
      <w:r>
        <w:t>Agree to the following definitions of the KPIs:</w:t>
      </w:r>
    </w:p>
    <w:p>
      <w:pPr>
        <w:pStyle w:val="82"/>
        <w:pBdr>
          <w:top w:val="single" w:color="auto" w:sz="4" w:space="1"/>
          <w:left w:val="single" w:color="auto" w:sz="4" w:space="4"/>
          <w:bottom w:val="single" w:color="auto" w:sz="4" w:space="1"/>
          <w:right w:val="single" w:color="auto" w:sz="4" w:space="4"/>
        </w:pBdr>
        <w:spacing w:line="240" w:lineRule="auto"/>
      </w:pPr>
      <w:r>
        <w:t>Target Integrity Risk (TIR)</w:t>
      </w:r>
      <w:r>
        <w:tab/>
      </w:r>
    </w:p>
    <w:p>
      <w:pPr>
        <w:pStyle w:val="82"/>
        <w:pBdr>
          <w:top w:val="single" w:color="auto" w:sz="4" w:space="1"/>
          <w:left w:val="single" w:color="auto" w:sz="4" w:space="4"/>
          <w:bottom w:val="single" w:color="auto" w:sz="4" w:space="1"/>
          <w:right w:val="single" w:color="auto" w:sz="4" w:space="4"/>
        </w:pBdr>
        <w:spacing w:line="240" w:lineRule="auto"/>
      </w:pPr>
      <w:r>
        <w:t>The probability that the positioning error exceeds the Alert Limit (AL) without warning the user within the required Time-to-Alert (TTA).</w:t>
      </w:r>
    </w:p>
    <w:p>
      <w:pPr>
        <w:pStyle w:val="82"/>
        <w:pBdr>
          <w:top w:val="single" w:color="auto" w:sz="4" w:space="1"/>
          <w:left w:val="single" w:color="auto" w:sz="4" w:space="4"/>
          <w:bottom w:val="single" w:color="auto" w:sz="4" w:space="1"/>
          <w:right w:val="single" w:color="auto" w:sz="4" w:space="4"/>
        </w:pBdr>
        <w:spacing w:line="240" w:lineRule="auto"/>
      </w:pPr>
      <w:r>
        <w:t>NOTE: The TIR is usually defined as a probability rate per some time unit (e.g. per hour, per second or per independent sample).</w:t>
      </w:r>
    </w:p>
    <w:p>
      <w:pPr>
        <w:pStyle w:val="82"/>
        <w:pBdr>
          <w:top w:val="single" w:color="auto" w:sz="4" w:space="1"/>
          <w:left w:val="single" w:color="auto" w:sz="4" w:space="4"/>
          <w:bottom w:val="single" w:color="auto" w:sz="4" w:space="1"/>
          <w:right w:val="single" w:color="auto" w:sz="4" w:space="4"/>
        </w:pBdr>
        <w:spacing w:line="240" w:lineRule="auto"/>
      </w:pPr>
      <w:r>
        <w:t>Alert Limit (AL)</w:t>
      </w:r>
    </w:p>
    <w:p>
      <w:pPr>
        <w:pStyle w:val="82"/>
        <w:pBdr>
          <w:top w:val="single" w:color="auto" w:sz="4" w:space="1"/>
          <w:left w:val="single" w:color="auto" w:sz="4" w:space="4"/>
          <w:bottom w:val="single" w:color="auto" w:sz="4" w:space="1"/>
          <w:right w:val="single" w:color="auto" w:sz="4" w:space="4"/>
        </w:pBdr>
        <w:spacing w:line="240" w:lineRule="auto"/>
      </w:pPr>
      <w:r>
        <w:t>The maximum allowable positioning error such that the positioning system is available for the intended application. If the positioning error is beyond the AL, operations are hazardous and the positioning system should be declared unavailable for the intended application to prevent loss of integrity.</w:t>
      </w:r>
    </w:p>
    <w:p>
      <w:pPr>
        <w:pStyle w:val="82"/>
        <w:pBdr>
          <w:top w:val="single" w:color="auto" w:sz="4" w:space="1"/>
          <w:left w:val="single" w:color="auto" w:sz="4" w:space="4"/>
          <w:bottom w:val="single" w:color="auto" w:sz="4" w:space="1"/>
          <w:right w:val="single" w:color="auto" w:sz="4" w:space="4"/>
        </w:pBdr>
        <w:spacing w:line="240" w:lineRule="auto"/>
      </w:pPr>
      <w:r>
        <w:t>NOTE: When the AL bounds the positioning error in the horizontal plane or on the vertical axis then it is called Horizontal Alert Limit (HAL) or Vertical Alert Limit (VAL) respectively.</w:t>
      </w:r>
    </w:p>
    <w:p>
      <w:pPr>
        <w:pStyle w:val="82"/>
        <w:pBdr>
          <w:top w:val="single" w:color="auto" w:sz="4" w:space="1"/>
          <w:left w:val="single" w:color="auto" w:sz="4" w:space="4"/>
          <w:bottom w:val="single" w:color="auto" w:sz="4" w:space="1"/>
          <w:right w:val="single" w:color="auto" w:sz="4" w:space="4"/>
        </w:pBdr>
        <w:spacing w:line="240" w:lineRule="auto"/>
      </w:pPr>
      <w:r>
        <w:t>Time-to-Alert (TTA)</w:t>
      </w:r>
    </w:p>
    <w:p>
      <w:pPr>
        <w:pStyle w:val="82"/>
        <w:pBdr>
          <w:top w:val="single" w:color="auto" w:sz="4" w:space="1"/>
          <w:left w:val="single" w:color="auto" w:sz="4" w:space="4"/>
          <w:bottom w:val="single" w:color="auto" w:sz="4" w:space="1"/>
          <w:right w:val="single" w:color="auto" w:sz="4" w:space="4"/>
        </w:pBdr>
        <w:spacing w:line="240" w:lineRule="auto"/>
      </w:pPr>
      <w:r>
        <w:t>The maximum allowable elapsed time from when the positioning error exceeds the Alert Limit (AL) until the function providing position integrity annunciates a corresponding alert.</w:t>
      </w:r>
    </w:p>
    <w:p>
      <w:pPr>
        <w:pStyle w:val="82"/>
        <w:pBdr>
          <w:top w:val="single" w:color="auto" w:sz="4" w:space="1"/>
          <w:left w:val="single" w:color="auto" w:sz="4" w:space="4"/>
          <w:bottom w:val="single" w:color="auto" w:sz="4" w:space="1"/>
          <w:right w:val="single" w:color="auto" w:sz="4" w:space="4"/>
        </w:pBdr>
        <w:spacing w:line="240" w:lineRule="auto"/>
      </w:pPr>
      <w:r>
        <w:t>3.</w:t>
      </w:r>
      <w:r>
        <w:tab/>
      </w:r>
      <w:r>
        <w:t>Agree to include the PL integrity definition with the following baseline; FFS if updates are needed.</w:t>
      </w:r>
    </w:p>
    <w:p>
      <w:pPr>
        <w:pStyle w:val="82"/>
        <w:pBdr>
          <w:top w:val="single" w:color="auto" w:sz="4" w:space="1"/>
          <w:left w:val="single" w:color="auto" w:sz="4" w:space="4"/>
          <w:bottom w:val="single" w:color="auto" w:sz="4" w:space="1"/>
          <w:right w:val="single" w:color="auto" w:sz="4" w:space="4"/>
        </w:pBdr>
        <w:spacing w:line="240" w:lineRule="auto"/>
      </w:pPr>
      <w:r>
        <w:t xml:space="preserve">Protection Level: </w:t>
      </w:r>
    </w:p>
    <w:p>
      <w:pPr>
        <w:pStyle w:val="82"/>
        <w:pBdr>
          <w:top w:val="single" w:color="auto" w:sz="4" w:space="1"/>
          <w:left w:val="single" w:color="auto" w:sz="4" w:space="4"/>
          <w:bottom w:val="single" w:color="auto" w:sz="4" w:space="1"/>
          <w:right w:val="single" w:color="auto" w:sz="4" w:space="4"/>
        </w:pBdr>
        <w:spacing w:line="240" w:lineRule="auto"/>
      </w:pPr>
      <w:r>
        <w:t>The PL is a statistical upper-bound of the positioning error that ensures that, the probability per unit of time of the true error being greater than the AL and the PL being less than or equal to the AL, for longer than the TTA, is less than the required TIR.</w:t>
      </w:r>
    </w:p>
    <w:p>
      <w:pPr>
        <w:pStyle w:val="82"/>
        <w:pBdr>
          <w:top w:val="single" w:color="auto" w:sz="4" w:space="1"/>
          <w:left w:val="single" w:color="auto" w:sz="4" w:space="4"/>
          <w:bottom w:val="single" w:color="auto" w:sz="4" w:space="1"/>
          <w:right w:val="single" w:color="auto" w:sz="4" w:space="4"/>
        </w:pBdr>
        <w:spacing w:line="240" w:lineRule="auto"/>
      </w:pPr>
      <w:r>
        <w:t>NOTE: When the PL bounds the positioning error in the horizontal plane or on the vertical axis then it is called Horizontal Protection Level (HPL) or Vertical Protection Level (VPL) respectively.</w:t>
      </w:r>
    </w:p>
    <w:p>
      <w:pPr>
        <w:pStyle w:val="82"/>
        <w:pBdr>
          <w:top w:val="single" w:color="auto" w:sz="4" w:space="1"/>
          <w:left w:val="single" w:color="auto" w:sz="4" w:space="4"/>
          <w:bottom w:val="single" w:color="auto" w:sz="4" w:space="1"/>
          <w:right w:val="single" w:color="auto" w:sz="4" w:space="4"/>
        </w:pBdr>
        <w:spacing w:line="240" w:lineRule="auto"/>
      </w:pPr>
      <w:r>
        <w:t>4.</w:t>
      </w:r>
      <w:r>
        <w:tab/>
      </w:r>
      <w:r>
        <w:t>The additional definitions are FFS on a ‘need-to-define’ basis.</w:t>
      </w:r>
    </w:p>
    <w:p>
      <w:pPr>
        <w:pStyle w:val="82"/>
        <w:pBdr>
          <w:top w:val="single" w:color="auto" w:sz="4" w:space="1"/>
          <w:left w:val="single" w:color="auto" w:sz="4" w:space="4"/>
          <w:bottom w:val="single" w:color="auto" w:sz="4" w:space="1"/>
          <w:right w:val="single" w:color="auto" w:sz="4" w:space="4"/>
        </w:pBdr>
        <w:spacing w:line="240" w:lineRule="auto"/>
      </w:pPr>
      <w:r>
        <w:t>5.</w:t>
      </w:r>
      <w:r>
        <w:tab/>
      </w:r>
      <w:r>
        <w:t>Agree to study the Automotive, IIoT and Rail use cases as illustrative examples.</w:t>
      </w:r>
    </w:p>
    <w:p>
      <w:pPr>
        <w:pStyle w:val="82"/>
        <w:pBdr>
          <w:top w:val="single" w:color="auto" w:sz="4" w:space="1"/>
          <w:left w:val="single" w:color="auto" w:sz="4" w:space="4"/>
          <w:bottom w:val="single" w:color="auto" w:sz="4" w:space="1"/>
          <w:right w:val="single" w:color="auto" w:sz="4" w:space="4"/>
        </w:pBdr>
        <w:spacing w:line="240" w:lineRule="auto"/>
      </w:pPr>
      <w:r>
        <w:t>6.</w:t>
      </w:r>
      <w:r>
        <w:tab/>
      </w:r>
      <w:r>
        <w:t>Agree to the Skeleton for Section 9 of TR 38.857.</w:t>
      </w:r>
    </w:p>
    <w:p>
      <w:pPr>
        <w:pStyle w:val="53"/>
        <w:spacing w:before="75" w:beforeAutospacing="0" w:after="75" w:afterAutospacing="0" w:line="240" w:lineRule="auto"/>
        <w:rPr>
          <w:rFonts w:cs="Arial"/>
          <w:color w:val="000000"/>
          <w:sz w:val="21"/>
        </w:rPr>
      </w:pPr>
    </w:p>
    <w:p>
      <w:pPr>
        <w:pStyle w:val="82"/>
        <w:pBdr>
          <w:top w:val="single" w:color="auto" w:sz="4" w:space="1"/>
          <w:left w:val="single" w:color="auto" w:sz="4" w:space="4"/>
          <w:bottom w:val="single" w:color="auto" w:sz="4" w:space="1"/>
          <w:right w:val="single" w:color="auto" w:sz="4" w:space="4"/>
        </w:pBdr>
        <w:spacing w:line="240" w:lineRule="auto"/>
      </w:pPr>
      <w:r>
        <w:t>Agreements:</w:t>
      </w:r>
    </w:p>
    <w:p>
      <w:pPr>
        <w:pStyle w:val="82"/>
        <w:pBdr>
          <w:top w:val="single" w:color="auto" w:sz="4" w:space="1"/>
          <w:left w:val="single" w:color="auto" w:sz="4" w:space="4"/>
          <w:bottom w:val="single" w:color="auto" w:sz="4" w:space="1"/>
          <w:right w:val="single" w:color="auto" w:sz="4" w:space="4"/>
        </w:pBdr>
        <w:spacing w:line="240" w:lineRule="auto"/>
      </w:pPr>
      <w:r>
        <w:t>Proposal 2: Error source for RAT-dependent positioning methods should be studied under RAN1. Send an LS to RAN1 to trigger the study on error sources for RAT-dependent positioning methods for positioning integrity</w:t>
      </w:r>
    </w:p>
    <w:p>
      <w:pPr>
        <w:pStyle w:val="82"/>
        <w:pBdr>
          <w:top w:val="single" w:color="auto" w:sz="4" w:space="1"/>
          <w:left w:val="single" w:color="auto" w:sz="4" w:space="4"/>
          <w:bottom w:val="single" w:color="auto" w:sz="4" w:space="1"/>
          <w:right w:val="single" w:color="auto" w:sz="4" w:space="4"/>
        </w:pBdr>
        <w:spacing w:line="240" w:lineRule="auto"/>
      </w:pPr>
      <w:r>
        <w:t>Proposal 3: RAN2 can independently study the error sources for RAT-independent positioning methods.</w:t>
      </w:r>
    </w:p>
    <w:p>
      <w:pPr>
        <w:pStyle w:val="82"/>
        <w:pBdr>
          <w:top w:val="single" w:color="auto" w:sz="4" w:space="1"/>
          <w:left w:val="single" w:color="auto" w:sz="4" w:space="4"/>
          <w:bottom w:val="single" w:color="auto" w:sz="4" w:space="1"/>
          <w:right w:val="single" w:color="auto" w:sz="4" w:space="4"/>
        </w:pBdr>
        <w:spacing w:line="240" w:lineRule="auto"/>
      </w:pPr>
      <w:r>
        <w:t xml:space="preserve">Proposal 5: RAN2 confirms that 4 possible sources of feared events are applicable for RAT-independent positioning in 3GPP system. </w:t>
      </w:r>
    </w:p>
    <w:p>
      <w:pPr>
        <w:pStyle w:val="82"/>
        <w:pBdr>
          <w:top w:val="single" w:color="auto" w:sz="4" w:space="1"/>
          <w:left w:val="single" w:color="auto" w:sz="4" w:space="4"/>
          <w:bottom w:val="single" w:color="auto" w:sz="4" w:space="1"/>
          <w:right w:val="single" w:color="auto" w:sz="4" w:space="4"/>
        </w:pBdr>
        <w:spacing w:line="240" w:lineRule="auto"/>
      </w:pPr>
      <w:r>
        <w:t>1.</w:t>
      </w:r>
      <w:r>
        <w:tab/>
      </w:r>
      <w:r>
        <w:t>Faults in the correction data e.g.</w:t>
      </w:r>
    </w:p>
    <w:p>
      <w:pPr>
        <w:pStyle w:val="82"/>
        <w:pBdr>
          <w:top w:val="single" w:color="auto" w:sz="4" w:space="1"/>
          <w:left w:val="single" w:color="auto" w:sz="4" w:space="4"/>
          <w:bottom w:val="single" w:color="auto" w:sz="4" w:space="1"/>
          <w:right w:val="single" w:color="auto" w:sz="4" w:space="4"/>
        </w:pBdr>
        <w:spacing w:line="240" w:lineRule="auto"/>
      </w:pPr>
      <w:r>
        <w:tab/>
      </w:r>
      <w:r>
        <w:t>a.</w:t>
      </w:r>
      <w:r>
        <w:tab/>
      </w:r>
      <w:r>
        <w:t>Incorrect computation by the provider</w:t>
      </w:r>
    </w:p>
    <w:p>
      <w:pPr>
        <w:pStyle w:val="82"/>
        <w:pBdr>
          <w:top w:val="single" w:color="auto" w:sz="4" w:space="1"/>
          <w:left w:val="single" w:color="auto" w:sz="4" w:space="4"/>
          <w:bottom w:val="single" w:color="auto" w:sz="4" w:space="1"/>
          <w:right w:val="single" w:color="auto" w:sz="4" w:space="4"/>
        </w:pBdr>
        <w:spacing w:line="240" w:lineRule="auto"/>
      </w:pPr>
      <w:r>
        <w:tab/>
      </w:r>
      <w:r>
        <w:t>b.</w:t>
      </w:r>
      <w:r>
        <w:tab/>
      </w:r>
      <w:r>
        <w:t>External feared event impacting the provider</w:t>
      </w:r>
    </w:p>
    <w:p>
      <w:pPr>
        <w:pStyle w:val="82"/>
        <w:pBdr>
          <w:top w:val="single" w:color="auto" w:sz="4" w:space="1"/>
          <w:left w:val="single" w:color="auto" w:sz="4" w:space="4"/>
          <w:bottom w:val="single" w:color="auto" w:sz="4" w:space="1"/>
          <w:right w:val="single" w:color="auto" w:sz="4" w:space="4"/>
        </w:pBdr>
        <w:spacing w:line="240" w:lineRule="auto"/>
      </w:pPr>
      <w:r>
        <w:t>2.</w:t>
      </w:r>
      <w:r>
        <w:tab/>
      </w:r>
      <w:r>
        <w:t>Faults in transmitting the data to the UE, e.g.</w:t>
      </w:r>
    </w:p>
    <w:p>
      <w:pPr>
        <w:pStyle w:val="82"/>
        <w:pBdr>
          <w:top w:val="single" w:color="auto" w:sz="4" w:space="1"/>
          <w:left w:val="single" w:color="auto" w:sz="4" w:space="4"/>
          <w:bottom w:val="single" w:color="auto" w:sz="4" w:space="1"/>
          <w:right w:val="single" w:color="auto" w:sz="4" w:space="4"/>
        </w:pBdr>
        <w:spacing w:line="240" w:lineRule="auto"/>
      </w:pPr>
      <w:r>
        <w:tab/>
      </w:r>
      <w:r>
        <w:t>a.</w:t>
      </w:r>
      <w:r>
        <w:tab/>
      </w:r>
      <w:r>
        <w:t>Data integrity faults</w:t>
      </w:r>
    </w:p>
    <w:p>
      <w:pPr>
        <w:pStyle w:val="82"/>
        <w:pBdr>
          <w:top w:val="single" w:color="auto" w:sz="4" w:space="1"/>
          <w:left w:val="single" w:color="auto" w:sz="4" w:space="4"/>
          <w:bottom w:val="single" w:color="auto" w:sz="4" w:space="1"/>
          <w:right w:val="single" w:color="auto" w:sz="4" w:space="4"/>
        </w:pBdr>
        <w:spacing w:line="240" w:lineRule="auto"/>
      </w:pPr>
      <w:r>
        <w:t>3.</w:t>
      </w:r>
      <w:r>
        <w:tab/>
      </w:r>
      <w:r>
        <w:t>External feared events, e.g.</w:t>
      </w:r>
    </w:p>
    <w:p>
      <w:pPr>
        <w:pStyle w:val="82"/>
        <w:pBdr>
          <w:top w:val="single" w:color="auto" w:sz="4" w:space="1"/>
          <w:left w:val="single" w:color="auto" w:sz="4" w:space="4"/>
          <w:bottom w:val="single" w:color="auto" w:sz="4" w:space="1"/>
          <w:right w:val="single" w:color="auto" w:sz="4" w:space="4"/>
        </w:pBdr>
        <w:spacing w:line="240" w:lineRule="auto"/>
      </w:pPr>
      <w:r>
        <w:tab/>
      </w:r>
      <w:r>
        <w:t>a.</w:t>
      </w:r>
      <w:r>
        <w:tab/>
      </w:r>
      <w:r>
        <w:t>Satellite feared events</w:t>
      </w:r>
    </w:p>
    <w:p>
      <w:pPr>
        <w:pStyle w:val="82"/>
        <w:pBdr>
          <w:top w:val="single" w:color="auto" w:sz="4" w:space="1"/>
          <w:left w:val="single" w:color="auto" w:sz="4" w:space="4"/>
          <w:bottom w:val="single" w:color="auto" w:sz="4" w:space="1"/>
          <w:right w:val="single" w:color="auto" w:sz="4" w:space="4"/>
        </w:pBdr>
        <w:spacing w:line="240" w:lineRule="auto"/>
      </w:pPr>
      <w:r>
        <w:tab/>
      </w:r>
      <w:r>
        <w:t>b.</w:t>
      </w:r>
      <w:r>
        <w:tab/>
      </w:r>
      <w:r>
        <w:t>Atmospheric feared events</w:t>
      </w:r>
    </w:p>
    <w:p>
      <w:pPr>
        <w:pStyle w:val="82"/>
        <w:pBdr>
          <w:top w:val="single" w:color="auto" w:sz="4" w:space="1"/>
          <w:left w:val="single" w:color="auto" w:sz="4" w:space="4"/>
          <w:bottom w:val="single" w:color="auto" w:sz="4" w:space="1"/>
          <w:right w:val="single" w:color="auto" w:sz="4" w:space="4"/>
        </w:pBdr>
        <w:spacing w:line="240" w:lineRule="auto"/>
      </w:pPr>
      <w:r>
        <w:tab/>
      </w:r>
      <w:r>
        <w:t>c.</w:t>
      </w:r>
      <w:r>
        <w:tab/>
      </w:r>
      <w:r>
        <w:t>Multipath</w:t>
      </w:r>
    </w:p>
    <w:p>
      <w:pPr>
        <w:pStyle w:val="82"/>
        <w:pBdr>
          <w:top w:val="single" w:color="auto" w:sz="4" w:space="1"/>
          <w:left w:val="single" w:color="auto" w:sz="4" w:space="4"/>
          <w:bottom w:val="single" w:color="auto" w:sz="4" w:space="1"/>
          <w:right w:val="single" w:color="auto" w:sz="4" w:space="4"/>
        </w:pBdr>
        <w:spacing w:line="240" w:lineRule="auto"/>
      </w:pPr>
      <w:r>
        <w:t>4.</w:t>
      </w:r>
      <w:r>
        <w:tab/>
      </w:r>
      <w:r>
        <w:t>UE faults</w:t>
      </w:r>
    </w:p>
    <w:p>
      <w:pPr>
        <w:pStyle w:val="82"/>
        <w:pBdr>
          <w:top w:val="single" w:color="auto" w:sz="4" w:space="1"/>
          <w:left w:val="single" w:color="auto" w:sz="4" w:space="4"/>
          <w:bottom w:val="single" w:color="auto" w:sz="4" w:space="1"/>
          <w:right w:val="single" w:color="auto" w:sz="4" w:space="4"/>
        </w:pBdr>
      </w:pPr>
      <w:r>
        <w:t>RAN2 to study positioning in idle/inactive mode, on-demand PRS and latency analysis in the study phase.</w:t>
      </w:r>
    </w:p>
    <w:p>
      <w:pPr>
        <w:rPr>
          <w:lang w:val="en-US" w:eastAsia="zh-CN"/>
        </w:rPr>
      </w:pPr>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C78AFF4E"/>
    <w:multiLevelType w:val="singleLevel"/>
    <w:tmpl w:val="C78AFF4E"/>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4FC5CB5"/>
    <w:multiLevelType w:val="singleLevel"/>
    <w:tmpl w:val="24FC5CB5"/>
    <w:lvl w:ilvl="0" w:tentative="0">
      <w:start w:val="1"/>
      <w:numFmt w:val="bullet"/>
      <w:lvlText w:val=""/>
      <w:lvlJc w:val="left"/>
      <w:pPr>
        <w:ind w:left="420" w:hanging="420"/>
      </w:pPr>
      <w:rPr>
        <w:rFonts w:hint="default" w:ascii="Wingdings" w:hAnsi="Wingdings"/>
      </w:rPr>
    </w:lvl>
  </w:abstractNum>
  <w:abstractNum w:abstractNumId="5">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7"/>
  </w:num>
  <w:num w:numId="3">
    <w:abstractNumId w:val="5"/>
  </w:num>
  <w:num w:numId="4">
    <w:abstractNumId w:val="6"/>
  </w:num>
  <w:num w:numId="5">
    <w:abstractNumId w:val="3"/>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420"/>
  <w:hyphenationZone w:val="425"/>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1F4559"/>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9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532C"/>
    <w:rsid w:val="008F7007"/>
    <w:rsid w:val="009026D8"/>
    <w:rsid w:val="00902833"/>
    <w:rsid w:val="009039E2"/>
    <w:rsid w:val="009048D4"/>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3B3D"/>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B14"/>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061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427122D"/>
    <w:rsid w:val="04405CD4"/>
    <w:rsid w:val="06270E5D"/>
    <w:rsid w:val="06301129"/>
    <w:rsid w:val="07332E45"/>
    <w:rsid w:val="07393CB3"/>
    <w:rsid w:val="07645E7E"/>
    <w:rsid w:val="07815AA2"/>
    <w:rsid w:val="07823593"/>
    <w:rsid w:val="07DB31F6"/>
    <w:rsid w:val="08036844"/>
    <w:rsid w:val="083828A5"/>
    <w:rsid w:val="086A0D8F"/>
    <w:rsid w:val="08870B03"/>
    <w:rsid w:val="09253E9C"/>
    <w:rsid w:val="0929781C"/>
    <w:rsid w:val="095438C6"/>
    <w:rsid w:val="098B1EF5"/>
    <w:rsid w:val="09911B95"/>
    <w:rsid w:val="09945F3A"/>
    <w:rsid w:val="09CB5A6C"/>
    <w:rsid w:val="09F00BD8"/>
    <w:rsid w:val="09F318B6"/>
    <w:rsid w:val="09FD6E02"/>
    <w:rsid w:val="0A1706C9"/>
    <w:rsid w:val="0A1A74F5"/>
    <w:rsid w:val="0A1D73FF"/>
    <w:rsid w:val="0A750F68"/>
    <w:rsid w:val="0AEC356E"/>
    <w:rsid w:val="0B545B44"/>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DC640D"/>
    <w:rsid w:val="141842FE"/>
    <w:rsid w:val="14352831"/>
    <w:rsid w:val="146B64E1"/>
    <w:rsid w:val="14993B21"/>
    <w:rsid w:val="14D73601"/>
    <w:rsid w:val="15014A40"/>
    <w:rsid w:val="15890495"/>
    <w:rsid w:val="15E03D6F"/>
    <w:rsid w:val="15EF5060"/>
    <w:rsid w:val="169C366A"/>
    <w:rsid w:val="16DA1E4D"/>
    <w:rsid w:val="16FB015A"/>
    <w:rsid w:val="17003574"/>
    <w:rsid w:val="17535B24"/>
    <w:rsid w:val="17A31370"/>
    <w:rsid w:val="17B06B1C"/>
    <w:rsid w:val="180B4FFB"/>
    <w:rsid w:val="18211C57"/>
    <w:rsid w:val="1842664F"/>
    <w:rsid w:val="18543673"/>
    <w:rsid w:val="186B7D0B"/>
    <w:rsid w:val="189D065F"/>
    <w:rsid w:val="18BC6F6C"/>
    <w:rsid w:val="18F32BCE"/>
    <w:rsid w:val="18FF4ABB"/>
    <w:rsid w:val="19343406"/>
    <w:rsid w:val="1A45032B"/>
    <w:rsid w:val="1A640E62"/>
    <w:rsid w:val="1A713779"/>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204934AB"/>
    <w:rsid w:val="20573F56"/>
    <w:rsid w:val="20705710"/>
    <w:rsid w:val="20840318"/>
    <w:rsid w:val="20930DFA"/>
    <w:rsid w:val="20CE5836"/>
    <w:rsid w:val="20D02BC7"/>
    <w:rsid w:val="210637EE"/>
    <w:rsid w:val="210948AE"/>
    <w:rsid w:val="211E529B"/>
    <w:rsid w:val="213A5E32"/>
    <w:rsid w:val="21D36B48"/>
    <w:rsid w:val="221B7641"/>
    <w:rsid w:val="224F5646"/>
    <w:rsid w:val="229A0A46"/>
    <w:rsid w:val="22D5441E"/>
    <w:rsid w:val="22D61F71"/>
    <w:rsid w:val="232660FF"/>
    <w:rsid w:val="23A71280"/>
    <w:rsid w:val="2418652F"/>
    <w:rsid w:val="245A1846"/>
    <w:rsid w:val="248512BD"/>
    <w:rsid w:val="24E51B39"/>
    <w:rsid w:val="25173A41"/>
    <w:rsid w:val="252D5DCC"/>
    <w:rsid w:val="255B75CB"/>
    <w:rsid w:val="25A45302"/>
    <w:rsid w:val="25A94E88"/>
    <w:rsid w:val="25E135DF"/>
    <w:rsid w:val="261E413F"/>
    <w:rsid w:val="263E633F"/>
    <w:rsid w:val="267E599C"/>
    <w:rsid w:val="26C17FC8"/>
    <w:rsid w:val="27B132D6"/>
    <w:rsid w:val="27FF1FDA"/>
    <w:rsid w:val="29095102"/>
    <w:rsid w:val="293E1B9C"/>
    <w:rsid w:val="29B32846"/>
    <w:rsid w:val="29ED63D5"/>
    <w:rsid w:val="2A275682"/>
    <w:rsid w:val="2A275D46"/>
    <w:rsid w:val="2AA14025"/>
    <w:rsid w:val="2B2348E2"/>
    <w:rsid w:val="2B5D0645"/>
    <w:rsid w:val="2B907720"/>
    <w:rsid w:val="2BCD0751"/>
    <w:rsid w:val="2C7F2EA6"/>
    <w:rsid w:val="2C8E4E6A"/>
    <w:rsid w:val="2C9927E7"/>
    <w:rsid w:val="2CA56F60"/>
    <w:rsid w:val="2CAF2767"/>
    <w:rsid w:val="2CFB59F1"/>
    <w:rsid w:val="2D125EB2"/>
    <w:rsid w:val="2D1E05D5"/>
    <w:rsid w:val="2D5627A8"/>
    <w:rsid w:val="2D9A6090"/>
    <w:rsid w:val="2DBD4FAF"/>
    <w:rsid w:val="2E09336F"/>
    <w:rsid w:val="2EC27772"/>
    <w:rsid w:val="2F263E1B"/>
    <w:rsid w:val="2F337D9E"/>
    <w:rsid w:val="3003631E"/>
    <w:rsid w:val="30745F5B"/>
    <w:rsid w:val="3078124A"/>
    <w:rsid w:val="3090209F"/>
    <w:rsid w:val="31623402"/>
    <w:rsid w:val="31EB4942"/>
    <w:rsid w:val="32187B45"/>
    <w:rsid w:val="3273050E"/>
    <w:rsid w:val="32891F62"/>
    <w:rsid w:val="328C1583"/>
    <w:rsid w:val="32C9080C"/>
    <w:rsid w:val="32CA0CF4"/>
    <w:rsid w:val="334275F5"/>
    <w:rsid w:val="33636F14"/>
    <w:rsid w:val="33670485"/>
    <w:rsid w:val="33C54618"/>
    <w:rsid w:val="34211C7C"/>
    <w:rsid w:val="347A4EB8"/>
    <w:rsid w:val="34D23AA7"/>
    <w:rsid w:val="35183D8B"/>
    <w:rsid w:val="35387D52"/>
    <w:rsid w:val="356926AE"/>
    <w:rsid w:val="35746D1B"/>
    <w:rsid w:val="358E0757"/>
    <w:rsid w:val="35AE7101"/>
    <w:rsid w:val="35F9212A"/>
    <w:rsid w:val="36281B26"/>
    <w:rsid w:val="36453AD6"/>
    <w:rsid w:val="366043F8"/>
    <w:rsid w:val="366626F2"/>
    <w:rsid w:val="374F6194"/>
    <w:rsid w:val="377F6041"/>
    <w:rsid w:val="37BB1F3C"/>
    <w:rsid w:val="37BC7D72"/>
    <w:rsid w:val="37E012BD"/>
    <w:rsid w:val="37E15A1B"/>
    <w:rsid w:val="38182C99"/>
    <w:rsid w:val="382E42A6"/>
    <w:rsid w:val="387A2C7E"/>
    <w:rsid w:val="38A75F14"/>
    <w:rsid w:val="38BD2C6C"/>
    <w:rsid w:val="38FA0996"/>
    <w:rsid w:val="396E02FE"/>
    <w:rsid w:val="3982272C"/>
    <w:rsid w:val="399648C1"/>
    <w:rsid w:val="3A156CE0"/>
    <w:rsid w:val="3A2D66D3"/>
    <w:rsid w:val="3A891A0E"/>
    <w:rsid w:val="3A9620D1"/>
    <w:rsid w:val="3AA26C9B"/>
    <w:rsid w:val="3ADC5E36"/>
    <w:rsid w:val="3AFC2B33"/>
    <w:rsid w:val="3B7F2802"/>
    <w:rsid w:val="3BC33F8E"/>
    <w:rsid w:val="3BCE7F95"/>
    <w:rsid w:val="3C087392"/>
    <w:rsid w:val="3C3F7E0E"/>
    <w:rsid w:val="3C893061"/>
    <w:rsid w:val="3CB674D9"/>
    <w:rsid w:val="3D0F30FA"/>
    <w:rsid w:val="3D3B2760"/>
    <w:rsid w:val="3D634A82"/>
    <w:rsid w:val="3D9210CE"/>
    <w:rsid w:val="3DAC0E95"/>
    <w:rsid w:val="3E1E5B9C"/>
    <w:rsid w:val="3E7A082F"/>
    <w:rsid w:val="3E926EC3"/>
    <w:rsid w:val="3E93478A"/>
    <w:rsid w:val="3E9F10BF"/>
    <w:rsid w:val="3EC40624"/>
    <w:rsid w:val="3F0875E3"/>
    <w:rsid w:val="3F09726C"/>
    <w:rsid w:val="3F1F25CF"/>
    <w:rsid w:val="3F5B21D1"/>
    <w:rsid w:val="3FBD74AC"/>
    <w:rsid w:val="402F7D1A"/>
    <w:rsid w:val="411531A3"/>
    <w:rsid w:val="411C0E30"/>
    <w:rsid w:val="414B0A93"/>
    <w:rsid w:val="415723A1"/>
    <w:rsid w:val="41643432"/>
    <w:rsid w:val="421B0E01"/>
    <w:rsid w:val="42481B2A"/>
    <w:rsid w:val="437906BF"/>
    <w:rsid w:val="43945CC5"/>
    <w:rsid w:val="43CE3BC6"/>
    <w:rsid w:val="43FB5AF0"/>
    <w:rsid w:val="440B4BBE"/>
    <w:rsid w:val="44211E9A"/>
    <w:rsid w:val="446A1C8A"/>
    <w:rsid w:val="44C70D28"/>
    <w:rsid w:val="44EE2D37"/>
    <w:rsid w:val="45465A74"/>
    <w:rsid w:val="457210D8"/>
    <w:rsid w:val="45E30915"/>
    <w:rsid w:val="45E40321"/>
    <w:rsid w:val="4625557D"/>
    <w:rsid w:val="465173C0"/>
    <w:rsid w:val="467E3F9B"/>
    <w:rsid w:val="46825B05"/>
    <w:rsid w:val="4684656F"/>
    <w:rsid w:val="46CC7A0B"/>
    <w:rsid w:val="47047ED5"/>
    <w:rsid w:val="470D32F9"/>
    <w:rsid w:val="473D266B"/>
    <w:rsid w:val="47B952BD"/>
    <w:rsid w:val="47FE7D60"/>
    <w:rsid w:val="48110BF4"/>
    <w:rsid w:val="48200D75"/>
    <w:rsid w:val="48283643"/>
    <w:rsid w:val="48516D40"/>
    <w:rsid w:val="486A5C7B"/>
    <w:rsid w:val="48950693"/>
    <w:rsid w:val="48BB3F94"/>
    <w:rsid w:val="48E03D9C"/>
    <w:rsid w:val="49374149"/>
    <w:rsid w:val="49613924"/>
    <w:rsid w:val="496D0F3E"/>
    <w:rsid w:val="49E12571"/>
    <w:rsid w:val="49E378C6"/>
    <w:rsid w:val="4A834EBE"/>
    <w:rsid w:val="4B3040AF"/>
    <w:rsid w:val="4B55574A"/>
    <w:rsid w:val="4BA90131"/>
    <w:rsid w:val="4BB36285"/>
    <w:rsid w:val="4BD35EC5"/>
    <w:rsid w:val="4C1B3C0A"/>
    <w:rsid w:val="4C4846F9"/>
    <w:rsid w:val="4CBC728A"/>
    <w:rsid w:val="4CFB69A6"/>
    <w:rsid w:val="4D2316EA"/>
    <w:rsid w:val="4D267491"/>
    <w:rsid w:val="4D830955"/>
    <w:rsid w:val="4E086BE2"/>
    <w:rsid w:val="4E3E017D"/>
    <w:rsid w:val="4E5F59DA"/>
    <w:rsid w:val="4EA44C2A"/>
    <w:rsid w:val="4F2941D5"/>
    <w:rsid w:val="4FFC0A94"/>
    <w:rsid w:val="50081059"/>
    <w:rsid w:val="50F36CD9"/>
    <w:rsid w:val="512E641B"/>
    <w:rsid w:val="517D059D"/>
    <w:rsid w:val="51FA56D9"/>
    <w:rsid w:val="523F7F97"/>
    <w:rsid w:val="53047529"/>
    <w:rsid w:val="54107975"/>
    <w:rsid w:val="5451551D"/>
    <w:rsid w:val="548C2C0D"/>
    <w:rsid w:val="54D6790A"/>
    <w:rsid w:val="553A4CBA"/>
    <w:rsid w:val="557E6857"/>
    <w:rsid w:val="55E15918"/>
    <w:rsid w:val="55E65C45"/>
    <w:rsid w:val="563A460F"/>
    <w:rsid w:val="566B6C45"/>
    <w:rsid w:val="56975E59"/>
    <w:rsid w:val="569C350B"/>
    <w:rsid w:val="56BF0EA2"/>
    <w:rsid w:val="56EA3918"/>
    <w:rsid w:val="575370FA"/>
    <w:rsid w:val="57BD0A78"/>
    <w:rsid w:val="57DC6FDD"/>
    <w:rsid w:val="57FB5F50"/>
    <w:rsid w:val="58984B29"/>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D5144C0"/>
    <w:rsid w:val="5DF408E2"/>
    <w:rsid w:val="5E2A7858"/>
    <w:rsid w:val="5E790BE8"/>
    <w:rsid w:val="5E973039"/>
    <w:rsid w:val="5EA87B0A"/>
    <w:rsid w:val="5EB119EE"/>
    <w:rsid w:val="5EE64140"/>
    <w:rsid w:val="5EEF7AA9"/>
    <w:rsid w:val="5F3E2940"/>
    <w:rsid w:val="5F4945D9"/>
    <w:rsid w:val="5F4E4F30"/>
    <w:rsid w:val="5F576E0A"/>
    <w:rsid w:val="5F825446"/>
    <w:rsid w:val="5FAE4FA2"/>
    <w:rsid w:val="5FBE69BB"/>
    <w:rsid w:val="5FCB4192"/>
    <w:rsid w:val="601A7A49"/>
    <w:rsid w:val="602F4794"/>
    <w:rsid w:val="607F4912"/>
    <w:rsid w:val="60881A7C"/>
    <w:rsid w:val="609751E5"/>
    <w:rsid w:val="60C10976"/>
    <w:rsid w:val="61B47C8A"/>
    <w:rsid w:val="61C16E82"/>
    <w:rsid w:val="61D81A5C"/>
    <w:rsid w:val="620D1678"/>
    <w:rsid w:val="620E1E7C"/>
    <w:rsid w:val="62B8321C"/>
    <w:rsid w:val="630962B4"/>
    <w:rsid w:val="63314D15"/>
    <w:rsid w:val="63766DF5"/>
    <w:rsid w:val="63BC2378"/>
    <w:rsid w:val="63BE6B4B"/>
    <w:rsid w:val="63E41E32"/>
    <w:rsid w:val="643636FB"/>
    <w:rsid w:val="64522BD2"/>
    <w:rsid w:val="646766DC"/>
    <w:rsid w:val="64E010F2"/>
    <w:rsid w:val="6503009D"/>
    <w:rsid w:val="651E5E20"/>
    <w:rsid w:val="65535A1B"/>
    <w:rsid w:val="657E2D0B"/>
    <w:rsid w:val="65817DB1"/>
    <w:rsid w:val="65FE510C"/>
    <w:rsid w:val="660E507B"/>
    <w:rsid w:val="66373410"/>
    <w:rsid w:val="66576902"/>
    <w:rsid w:val="669369C9"/>
    <w:rsid w:val="66943B2D"/>
    <w:rsid w:val="675A1CF7"/>
    <w:rsid w:val="6761194F"/>
    <w:rsid w:val="677F7400"/>
    <w:rsid w:val="67A01566"/>
    <w:rsid w:val="67A63D55"/>
    <w:rsid w:val="67A84465"/>
    <w:rsid w:val="67AB3B49"/>
    <w:rsid w:val="68384317"/>
    <w:rsid w:val="685F312A"/>
    <w:rsid w:val="68603781"/>
    <w:rsid w:val="68CC70D7"/>
    <w:rsid w:val="69291ACC"/>
    <w:rsid w:val="693F57CE"/>
    <w:rsid w:val="696B32FD"/>
    <w:rsid w:val="69797C2C"/>
    <w:rsid w:val="69AB78DD"/>
    <w:rsid w:val="69D74CDC"/>
    <w:rsid w:val="6A2F1F48"/>
    <w:rsid w:val="6A9B47A1"/>
    <w:rsid w:val="6AFF14C0"/>
    <w:rsid w:val="6B0E13E7"/>
    <w:rsid w:val="6B1301B0"/>
    <w:rsid w:val="6B29781B"/>
    <w:rsid w:val="6B5068BA"/>
    <w:rsid w:val="6BFF0085"/>
    <w:rsid w:val="6CEF0D1C"/>
    <w:rsid w:val="6D17028B"/>
    <w:rsid w:val="6D2552D8"/>
    <w:rsid w:val="6D302D5D"/>
    <w:rsid w:val="6D3C235D"/>
    <w:rsid w:val="6D935AB0"/>
    <w:rsid w:val="6DA62403"/>
    <w:rsid w:val="6E087119"/>
    <w:rsid w:val="6E0A3A07"/>
    <w:rsid w:val="6E372360"/>
    <w:rsid w:val="6E4F724A"/>
    <w:rsid w:val="6E60770D"/>
    <w:rsid w:val="6F037853"/>
    <w:rsid w:val="6F7B3028"/>
    <w:rsid w:val="6FA027BC"/>
    <w:rsid w:val="6FC55DFE"/>
    <w:rsid w:val="70020A66"/>
    <w:rsid w:val="701A03F2"/>
    <w:rsid w:val="701B6FD8"/>
    <w:rsid w:val="704266E6"/>
    <w:rsid w:val="706A7B0F"/>
    <w:rsid w:val="7080412D"/>
    <w:rsid w:val="7127456D"/>
    <w:rsid w:val="712914EF"/>
    <w:rsid w:val="717C199B"/>
    <w:rsid w:val="71EF2FA5"/>
    <w:rsid w:val="7210341D"/>
    <w:rsid w:val="73624F26"/>
    <w:rsid w:val="736C6888"/>
    <w:rsid w:val="739B1EBD"/>
    <w:rsid w:val="73AF18CB"/>
    <w:rsid w:val="73B9425D"/>
    <w:rsid w:val="73ED4A58"/>
    <w:rsid w:val="73F12374"/>
    <w:rsid w:val="740422B3"/>
    <w:rsid w:val="74796ABE"/>
    <w:rsid w:val="74A87093"/>
    <w:rsid w:val="74C80433"/>
    <w:rsid w:val="74E229B4"/>
    <w:rsid w:val="74E9694C"/>
    <w:rsid w:val="74EC26A7"/>
    <w:rsid w:val="75034CF7"/>
    <w:rsid w:val="75A1325D"/>
    <w:rsid w:val="75DF32A0"/>
    <w:rsid w:val="760A43BF"/>
    <w:rsid w:val="761321E0"/>
    <w:rsid w:val="761450E8"/>
    <w:rsid w:val="765D589D"/>
    <w:rsid w:val="76A133C0"/>
    <w:rsid w:val="76D36025"/>
    <w:rsid w:val="772F2936"/>
    <w:rsid w:val="776B6DA8"/>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7285F"/>
    <w:rsid w:val="7D9B3B81"/>
    <w:rsid w:val="7DA87B6D"/>
    <w:rsid w:val="7DA957CB"/>
    <w:rsid w:val="7DF366F8"/>
    <w:rsid w:val="7E0F7674"/>
    <w:rsid w:val="7E1F6225"/>
    <w:rsid w:val="7E5940F2"/>
    <w:rsid w:val="7E5B35FF"/>
    <w:rsid w:val="7E6916D3"/>
    <w:rsid w:val="7EA33491"/>
    <w:rsid w:val="7F2137F9"/>
    <w:rsid w:val="7F3B2CA3"/>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F3B26E-3F16-448C-864F-2A1716AB7AE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1005</Words>
  <Characters>5731</Characters>
  <Lines>47</Lines>
  <Paragraphs>13</Paragraphs>
  <TotalTime>1</TotalTime>
  <ScaleCrop>false</ScaleCrop>
  <LinksUpToDate>false</LinksUpToDate>
  <CharactersWithSpaces>6723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ZTE_LYS</cp:lastModifiedBy>
  <cp:lastPrinted>2113-01-01T00:00:00Z</cp:lastPrinted>
  <dcterms:modified xsi:type="dcterms:W3CDTF">2020-10-23T05:53:37Z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